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0889722cb5d795fb3ec33b259f29bdd4a37f3b7"/>
    <w:p>
      <w:pPr>
        <w:pStyle w:val="Heading2"/>
      </w:pPr>
      <w:r>
        <w:t xml:space="preserve">Fecho de Dossiê – Notas Finais e Arquivamento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1234/2026 – Alteração da Regulação das Responsabilidades Parentais – Menor de 8 anos</w:t>
      </w:r>
      <w:r>
        <w:br/>
      </w:r>
      <w:r>
        <w:rPr>
          <w:b/>
          <w:bCs/>
        </w:rPr>
        <w:t xml:space="preserve">Comarca:</w:t>
      </w:r>
      <w:r>
        <w:t xml:space="preserve"> </w:t>
      </w:r>
      <w:r>
        <w:t xml:space="preserve">Lisboa – Vara da Família e dos Menores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</w:t>
      </w:r>
      <w:r>
        <w:t xml:space="preserve"> </w:t>
      </w:r>
      <w:r>
        <w:rPr>
          <w:b/>
          <w:bCs/>
        </w:rPr>
        <w:t xml:space="preserve">Dr. Carlos Alberto Mendes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pPr>
        <w:pStyle w:val="BodyText"/>
      </w:pPr>
      <w:r>
        <w:rPr>
          <w:b/>
          <w:bCs/>
        </w:rPr>
        <w:t xml:space="preserve">Elaborado por:</w:t>
      </w:r>
      <w:r>
        <w:t xml:space="preserve"> </w:t>
      </w:r>
      <w:r>
        <w:t xml:space="preserve">Servidor Judicial – Secção de Arquivo e Fecho de Processos</w:t>
      </w:r>
      <w:r>
        <w:br/>
      </w:r>
      <w:r>
        <w:rPr>
          <w:b/>
          <w:bCs/>
        </w:rPr>
        <w:t xml:space="preserve">N.º de Identificação Interna:</w:t>
      </w:r>
      <w:r>
        <w:t xml:space="preserve"> </w:t>
      </w:r>
      <w:r>
        <w:t xml:space="preserve">2026/FF-1234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3394"/>
        <w:gridCol w:w="1131"/>
        <w:gridCol w:w="181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Nome completo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Morada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Maria da Conceição Silva</w:t>
            </w:r>
          </w:p>
        </w:tc>
        <w:tc>
          <w:tcPr/>
          <w:p>
            <w:pPr>
              <w:pStyle w:val="Compact"/>
            </w:pPr>
            <w:r>
              <w:t xml:space="preserve">213 456 789</w:t>
            </w:r>
          </w:p>
        </w:tc>
        <w:tc>
          <w:tcPr/>
          <w:p>
            <w:pPr>
              <w:pStyle w:val="Compact"/>
            </w:pPr>
            <w:r>
              <w:t xml:space="preserve">Rua da Boa‑Hora, 45‑1.º Dto., 1150‑062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José António Pereira</w:t>
            </w:r>
          </w:p>
        </w:tc>
        <w:tc>
          <w:tcPr/>
          <w:p>
            <w:pPr>
              <w:pStyle w:val="Compact"/>
            </w:pPr>
            <w:r>
              <w:t xml:space="preserve">219 876 543</w:t>
            </w:r>
          </w:p>
        </w:tc>
        <w:tc>
          <w:tcPr/>
          <w:p>
            <w:pPr>
              <w:pStyle w:val="Compact"/>
            </w:pPr>
            <w:r>
              <w:t xml:space="preserve">Avenida da República, 120‑3.º Esq., 4000‑254 Porto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Mandatários</w:t>
            </w:r>
          </w:p>
        </w:tc>
        <w:tc>
          <w:tcPr/>
          <w:p>
            <w:pPr>
              <w:pStyle w:val="Compact"/>
            </w:pPr>
            <w:r>
              <w:t xml:space="preserve">Dr. Ana Sofia Martins – OAB/LS 12345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  <w:tc>
          <w:tcPr/>
          <w:p>
            <w:pPr>
              <w:pStyle w:val="Compact"/>
            </w:pPr>
            <w:r>
              <w:t xml:space="preserve">Escritório da Advocacia Martins &amp; Associados, Av. da Liberdade, 210, 1250‑146 Lisboa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Dr. Luís Fernando Carvalho – OAB/LS 67890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  <w:tc>
          <w:tcPr/>
          <w:p>
            <w:pPr>
              <w:pStyle w:val="Compact"/>
            </w:pPr>
            <w:r>
              <w:t xml:space="preserve">Escritório da Advocacia Carvalho &amp; Co., Rua do Carmo, 78, 1200‑092 Lisboa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histórico-processual-resumido"/>
    <w:p>
      <w:pPr>
        <w:pStyle w:val="Heading3"/>
      </w:pPr>
      <w:r>
        <w:t xml:space="preserve">2. Histórico Processual resumido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394"/>
        <w:gridCol w:w="452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Evento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 de março de 2024</w:t>
            </w:r>
          </w:p>
        </w:tc>
        <w:tc>
          <w:tcPr/>
          <w:p>
            <w:pPr>
              <w:pStyle w:val="Compact"/>
            </w:pPr>
            <w:r>
              <w:t xml:space="preserve">Protocolo da ação de modificação da regulação das responsabilidades parentais (pedido de guarda e visitas supervisionadas).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 de março de 2024</w:t>
            </w:r>
          </w:p>
        </w:tc>
        <w:tc>
          <w:tcPr/>
          <w:p>
            <w:pPr>
              <w:pStyle w:val="Compact"/>
            </w:pPr>
            <w:r>
              <w:t xml:space="preserve">Citação do réu e juntada da contestação (incumprimento do regime de visitas, mudança de residência para Vila Nova de Gaia).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 de maio de 2024</w:t>
            </w:r>
          </w:p>
        </w:tc>
        <w:tc>
          <w:tcPr/>
          <w:p>
            <w:pPr>
              <w:pStyle w:val="Compact"/>
            </w:pPr>
            <w:r>
              <w:t xml:space="preserve">Audiência de conciliação – sem acordo.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 de junho de 2024</w:t>
            </w:r>
          </w:p>
        </w:tc>
        <w:tc>
          <w:tcPr/>
          <w:p>
            <w:pPr>
              <w:pStyle w:val="Compact"/>
            </w:pPr>
            <w:r>
              <w:t xml:space="preserve">Apresentação de prova pericial psicológica da menor (Dr.ª Sofia Ribeiro, CPF 001/2024).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 de julho de 2024</w:t>
            </w:r>
          </w:p>
        </w:tc>
        <w:tc>
          <w:tcPr/>
          <w:p>
            <w:pPr>
              <w:pStyle w:val="Compact"/>
            </w:pPr>
            <w:r>
              <w:t xml:space="preserve">Depoimento das partes em audiência de instrução.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de agosto de 2024</w:t>
            </w:r>
          </w:p>
        </w:tc>
        <w:tc>
          <w:tcPr/>
          <w:p>
            <w:pPr>
              <w:pStyle w:val="Compact"/>
            </w:pPr>
            <w:r>
              <w:t xml:space="preserve">Sentença de 1.º grau (fls. 312‑327) –</w:t>
            </w:r>
            <w:r>
              <w:t xml:space="preserve"> </w:t>
            </w:r>
            <w:r>
              <w:rPr>
                <w:b/>
                <w:bCs/>
              </w:rPr>
              <w:t xml:space="preserve">Guarda compartilhada</w:t>
            </w:r>
            <w:r>
              <w:t xml:space="preserve">, visitas supervisionadas quinzenais, residência principal da menor com a mãe, e obrigação do pai de comunicar mudança de domicílio com antecedência mínima de 30 dias.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 de outubro de 2024</w:t>
            </w:r>
          </w:p>
        </w:tc>
        <w:tc>
          <w:tcPr/>
          <w:p>
            <w:pPr>
              <w:pStyle w:val="Compact"/>
            </w:pPr>
            <w:r>
              <w:t xml:space="preserve">Interposição de recurso de apelação pelo réu (fls. 340‑345).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 de janeiro de 2025</w:t>
            </w:r>
          </w:p>
        </w:tc>
        <w:tc>
          <w:tcPr/>
          <w:p>
            <w:pPr>
              <w:pStyle w:val="Compact"/>
            </w:pPr>
            <w:r>
              <w:t xml:space="preserve">Sentença de 2.º grau (fls. 410‑425) –</w:t>
            </w:r>
            <w:r>
              <w:t xml:space="preserve"> </w:t>
            </w:r>
            <w:r>
              <w:rPr>
                <w:b/>
                <w:bCs/>
              </w:rPr>
              <w:t xml:space="preserve">Manutenção da guarda compartilhada</w:t>
            </w:r>
            <w:r>
              <w:t xml:space="preserve">, reforço do regime de visitas supervisionadas, fixação de multa de € 300,00 por incumprimento de comunicação de mudança de residência.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 de março de 2025</w:t>
            </w:r>
          </w:p>
        </w:tc>
        <w:tc>
          <w:tcPr/>
          <w:p>
            <w:pPr>
              <w:pStyle w:val="Compact"/>
            </w:pPr>
            <w:r>
              <w:t xml:space="preserve">Cumprimento da sentença – início de visitas supervisionadas no Centro de Mediação Familiar de Lisboa.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 de novembro de 2025</w:t>
            </w:r>
          </w:p>
        </w:tc>
        <w:tc>
          <w:tcPr/>
          <w:p>
            <w:pPr>
              <w:pStyle w:val="Compact"/>
            </w:pPr>
            <w:r>
              <w:t xml:space="preserve">Pedido de revisão de regime de visitas (fls. 470‑475) – indeferido por inexistência de novos factos.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de dezembro de 2025</w:t>
            </w:r>
          </w:p>
        </w:tc>
        <w:tc>
          <w:tcPr/>
          <w:p>
            <w:pPr>
              <w:pStyle w:val="Compact"/>
            </w:pPr>
            <w:r>
              <w:t xml:space="preserve">Arquivo provisório do processo (fls. 480‑485).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análise-dos-autos"/>
    <w:p>
      <w:pPr>
        <w:pStyle w:val="Heading3"/>
      </w:pPr>
      <w:r>
        <w:t xml:space="preserve">3. Análise dos Autos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Conformidade com o princípio do melhor interesse da criança</w:t>
      </w:r>
      <w:r>
        <w:t xml:space="preserve"> </w:t>
      </w:r>
      <w:r>
        <w:t xml:space="preserve">– Todas as decisões proferidas – tanto em 1.º como em 2.º grau – foram fundamentadas na avaliação psicológica da menor (relatório CPF‑001/2024) que apontou necessidade de estabilidade residencial e de contacto regular, porém supervisionado, com o pai, devido a episódios de ansiedade associados a mudanças frequentes de domicílio.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Cumprimento das obrigações processuais</w:t>
      </w:r>
      <w:r>
        <w:t xml:space="preserve"> </w:t>
      </w:r>
      <w:r>
        <w:t xml:space="preserve">– As partes apresentaram todas as peças processuais exigidas dentro dos prazos legais. Não foram identificados incidentes de nulidade ou de cerceamento de defesa.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Execução da sentença</w:t>
      </w:r>
      <w:r>
        <w:t xml:space="preserve"> </w:t>
      </w:r>
      <w:r>
        <w:t xml:space="preserve">– O serviço de Execução de Sentenças da Vara da Família e dos Menores verificou, através de relatório de acompanhamento (fls. 462‑466), o regular desenvolvimento das visitas supervisionadas e o pagamento pontual da multa prevista. Não foram registados novos incumprimentos até à data do presente fecho.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Relevância de documentos anexos</w:t>
      </w:r>
      <w:r>
        <w:t xml:space="preserve"> </w:t>
      </w:r>
      <w:r>
        <w:t xml:space="preserve">– O dossier contém, entre outros, os seguintes documentos essenciais:</w:t>
      </w:r>
    </w:p>
    <w:p>
      <w:pPr>
        <w:pStyle w:val="Compact"/>
        <w:numPr>
          <w:ilvl w:val="1"/>
          <w:numId w:val="1002"/>
        </w:numPr>
      </w:pPr>
      <w:r>
        <w:t xml:space="preserve">Relatório pericial psicológico (fls. 100‑115);</w:t>
      </w:r>
    </w:p>
    <w:p>
      <w:pPr>
        <w:pStyle w:val="Compact"/>
        <w:numPr>
          <w:ilvl w:val="1"/>
          <w:numId w:val="1002"/>
        </w:numPr>
      </w:pPr>
      <w:r>
        <w:t xml:space="preserve">Sentença de 1.º grau (fls. 312‑327);</w:t>
      </w:r>
    </w:p>
    <w:p>
      <w:pPr>
        <w:pStyle w:val="Compact"/>
        <w:numPr>
          <w:ilvl w:val="1"/>
          <w:numId w:val="1002"/>
        </w:numPr>
      </w:pPr>
      <w:r>
        <w:t xml:space="preserve">Sentença de 2.º grau (fls. 410‑425);</w:t>
      </w:r>
    </w:p>
    <w:p>
      <w:pPr>
        <w:pStyle w:val="Compact"/>
        <w:numPr>
          <w:ilvl w:val="1"/>
          <w:numId w:val="1002"/>
        </w:numPr>
      </w:pPr>
      <w:r>
        <w:t xml:space="preserve">Relatório de acompanhamento de visitas (fls. 462‑466);</w:t>
      </w:r>
    </w:p>
    <w:p>
      <w:pPr>
        <w:pStyle w:val="Compact"/>
        <w:numPr>
          <w:ilvl w:val="1"/>
          <w:numId w:val="1002"/>
        </w:numPr>
      </w:pPr>
      <w:r>
        <w:t xml:space="preserve">Certificado de conclusão das visitas supervisionadas (fls. 470‑472).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Conclusão de inexistência de litígio pendente</w:t>
      </w:r>
      <w:r>
        <w:t xml:space="preserve"> </w:t>
      </w:r>
      <w:r>
        <w:t xml:space="preserve">– Não há pedidos em aberto, nem recurso pendente de decisão. O processo encontra‑se, portanto, apto ao arquivamento definitivo.</w:t>
      </w:r>
    </w:p>
    <w:p>
      <w:r>
        <w:pict>
          <v:rect style="width:0;height:1.5pt" o:hralign="center" o:hrstd="t" o:hr="t"/>
        </w:pict>
      </w:r>
    </w:p>
    <w:bookmarkEnd w:id="11"/>
    <w:bookmarkStart w:id="12" w:name="conclusões"/>
    <w:p>
      <w:pPr>
        <w:pStyle w:val="Heading3"/>
      </w:pPr>
      <w:r>
        <w:t xml:space="preserve">4. Conclusões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Conclusão de mérito</w:t>
      </w:r>
      <w:r>
        <w:t xml:space="preserve"> </w:t>
      </w:r>
      <w:r>
        <w:t xml:space="preserve">– O regime de guarda e visitas estabelecido na sentença de 2.º grau permanece em vigor e tem sido cumprido integralmente pelas partes.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Arquivamento</w:t>
      </w:r>
      <w:r>
        <w:t xml:space="preserve"> </w:t>
      </w:r>
      <w:r>
        <w:t xml:space="preserve">– Dado o cumprimento total das determinações judiciais, a inexistência de novos factos que justifiquem reabertura do procedimento, e a falta de recursos pendentes, recomenda‑se o arquivamento definitivo do processo n.º 1234/2026.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Recomendações</w:t>
      </w:r>
      <w:r>
        <w:t xml:space="preserve"> </w:t>
      </w:r>
      <w:r>
        <w:t xml:space="preserve">–</w:t>
      </w:r>
    </w:p>
    <w:p>
      <w:pPr>
        <w:pStyle w:val="Compact"/>
        <w:numPr>
          <w:ilvl w:val="1"/>
          <w:numId w:val="1004"/>
        </w:numPr>
      </w:pPr>
      <w:r>
        <w:t xml:space="preserve">Manter o registo do acompanhamento das visitas no arquivo da Vara da Família e dos Menores por um período mínimo de dois anos, conforme previsto no CPC (art. 317.º).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Atualizar a base de dados de processos concluídos com a referência ao presente fecho, facilitando futuras consultas.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Informar, por meio de carta certificada, a ambas as partes sobre o arquivamento definitivo e a possibilidade de reabertura, nos termos do art. 299.º do CPC, caso surjam novos factos relevantes.</w:t>
      </w:r>
    </w:p>
    <w:p>
      <w:r>
        <w:pict>
          <v:rect style="width:0;height:1.5pt" o:hralign="center" o:hrstd="t" o:hr="t"/>
        </w:pict>
      </w:r>
    </w:p>
    <w:bookmarkEnd w:id="12"/>
    <w:bookmarkStart w:id="13" w:name="documentação-anexada-ao-fecho"/>
    <w:p>
      <w:pPr>
        <w:pStyle w:val="Heading3"/>
      </w:pPr>
      <w:r>
        <w:t xml:space="preserve">5. Documentação Anexada ao Fecho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80"/>
        <w:gridCol w:w="2420"/>
        <w:gridCol w:w="176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t xml:space="preserve">Folhas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Relatório Pericial Psicológica – Dr.ª Sofia Ribeiro</w:t>
            </w:r>
          </w:p>
        </w:tc>
        <w:tc>
          <w:tcPr/>
          <w:p>
            <w:pPr>
              <w:pStyle w:val="Compact"/>
            </w:pPr>
            <w:r>
              <w:t xml:space="preserve">100‑115</w:t>
            </w:r>
          </w:p>
        </w:tc>
        <w:tc>
          <w:tcPr/>
          <w:p>
            <w:pPr>
              <w:pStyle w:val="Compact"/>
            </w:pPr>
            <w:r>
              <w:t xml:space="preserve">Avaliação do bem‑estar da menor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Sentença de 1.º Grau – Guarda Compartilhada</w:t>
            </w:r>
          </w:p>
        </w:tc>
        <w:tc>
          <w:tcPr/>
          <w:p>
            <w:pPr>
              <w:pStyle w:val="Compact"/>
            </w:pPr>
            <w:r>
              <w:t xml:space="preserve">312‑327</w:t>
            </w:r>
          </w:p>
        </w:tc>
        <w:tc>
          <w:tcPr/>
          <w:p>
            <w:pPr>
              <w:pStyle w:val="Compact"/>
            </w:pPr>
            <w:r>
              <w:t xml:space="preserve">Primeira decisão judicial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Sentença de 2.º Grau – Reafirmação de guarda e visitas supervisionadas</w:t>
            </w:r>
          </w:p>
        </w:tc>
        <w:tc>
          <w:tcPr/>
          <w:p>
            <w:pPr>
              <w:pStyle w:val="Compact"/>
            </w:pPr>
            <w:r>
              <w:t xml:space="preserve">410‑425</w:t>
            </w:r>
          </w:p>
        </w:tc>
        <w:tc>
          <w:tcPr/>
          <w:p>
            <w:pPr>
              <w:pStyle w:val="Compact"/>
            </w:pPr>
            <w:r>
              <w:t xml:space="preserve">Decisão final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Relatório de Acompanhamento das Visitas</w:t>
            </w:r>
          </w:p>
        </w:tc>
        <w:tc>
          <w:tcPr/>
          <w:p>
            <w:pPr>
              <w:pStyle w:val="Compact"/>
            </w:pPr>
            <w:r>
              <w:t xml:space="preserve">462‑466</w:t>
            </w:r>
          </w:p>
        </w:tc>
        <w:tc>
          <w:tcPr/>
          <w:p>
            <w:pPr>
              <w:pStyle w:val="Compact"/>
            </w:pPr>
            <w:r>
              <w:t xml:space="preserve">Verificação de cumprimento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Certificado de Conclusão das Visitas Supervisionadas</w:t>
            </w:r>
          </w:p>
        </w:tc>
        <w:tc>
          <w:tcPr/>
          <w:p>
            <w:pPr>
              <w:pStyle w:val="Compact"/>
            </w:pPr>
            <w:r>
              <w:t xml:space="preserve">470‑472</w:t>
            </w:r>
          </w:p>
        </w:tc>
        <w:tc>
          <w:tcPr/>
          <w:p>
            <w:pPr>
              <w:pStyle w:val="Compact"/>
            </w:pPr>
            <w:r>
              <w:t xml:space="preserve">Emissão pelo Centro de Mediação Familiar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Carta de Notificação de Arquivamento às Partes</w:t>
            </w:r>
          </w:p>
        </w:tc>
        <w:tc>
          <w:tcPr/>
          <w:p>
            <w:pPr>
              <w:pStyle w:val="Compact"/>
            </w:pPr>
            <w:r>
              <w:t xml:space="preserve">480‑482</w:t>
            </w:r>
          </w:p>
        </w:tc>
        <w:tc>
          <w:tcPr/>
          <w:p>
            <w:pPr>
              <w:pStyle w:val="Compact"/>
            </w:pPr>
            <w:r>
              <w:t xml:space="preserve">Enviada em 18/02/2026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Ficha de Arquivo Definitivo</w:t>
            </w:r>
          </w:p>
        </w:tc>
        <w:tc>
          <w:tcPr/>
          <w:p>
            <w:pPr>
              <w:pStyle w:val="Compact"/>
            </w:pPr>
            <w:r>
              <w:t xml:space="preserve">483‑485</w:t>
            </w:r>
          </w:p>
        </w:tc>
        <w:tc>
          <w:tcPr/>
          <w:p>
            <w:pPr>
              <w:pStyle w:val="Compact"/>
            </w:pPr>
            <w:r>
              <w:t xml:space="preserve">Registro interno da secretaria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procedimento-de-arquivamento"/>
    <w:p>
      <w:pPr>
        <w:pStyle w:val="Heading3"/>
      </w:pPr>
      <w:r>
        <w:t xml:space="preserve">6. Procedimento de Arquivamento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Encaminhamento à Secretaria da Vara</w:t>
      </w:r>
      <w:r>
        <w:t xml:space="preserve"> </w:t>
      </w:r>
      <w:r>
        <w:t xml:space="preserve">– Entrega da presente nota interna e dos documentos listados na secção 5 à Secretaria da Vara da Família e dos Menores, para registro e geração do número de arquivo definitivo.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Baixa física dos autos</w:t>
      </w:r>
      <w:r>
        <w:t xml:space="preserve"> </w:t>
      </w:r>
      <w:r>
        <w:t xml:space="preserve">– Transferência dos autos físicos para o depósito de arquivos permanentes, com etiquetagem conforme o código interno</w:t>
      </w:r>
      <w:r>
        <w:t xml:space="preserve"> </w:t>
      </w:r>
      <w:r>
        <w:rPr>
          <w:b/>
          <w:bCs/>
        </w:rPr>
        <w:t xml:space="preserve">FF‑2026‑1234</w:t>
      </w:r>
      <w:r>
        <w:t xml:space="preserve">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Digitalização e indexação</w:t>
      </w:r>
      <w:r>
        <w:t xml:space="preserve"> </w:t>
      </w:r>
      <w:r>
        <w:t xml:space="preserve">– Inserção dos documentos digitalizados na plataforma</w:t>
      </w:r>
      <w:r>
        <w:t xml:space="preserve"> </w:t>
      </w:r>
      <w:r>
        <w:rPr>
          <w:b/>
          <w:bCs/>
        </w:rPr>
        <w:t xml:space="preserve">e-Processo</w:t>
      </w:r>
      <w:r>
        <w:t xml:space="preserve">, com metadados atualizados (status: “Arquivado – Definitivo”).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Comunicação às partes</w:t>
      </w:r>
      <w:r>
        <w:t xml:space="preserve"> </w:t>
      </w:r>
      <w:r>
        <w:t xml:space="preserve">– Confirmação de recebimento da carta de notificação (fls. 480‑482) e arquivamento, com cópia eletrónica enviada ao e‑mail indicado nos autos (maria.silva@email.pt e jose.pereira@email.pt).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Encerramento da conta processual</w:t>
      </w:r>
      <w:r>
        <w:t xml:space="preserve"> </w:t>
      </w:r>
      <w:r>
        <w:t xml:space="preserve">– Atualização da base de dados do Ministério da Justiça, encerrando a conta processual nº 1234/2026.</w:t>
      </w:r>
    </w:p>
    <w:p>
      <w:r>
        <w:pict>
          <v:rect style="width:0;height:1.5pt" o:hralign="center" o:hrstd="t" o:hr="t"/>
        </w:pict>
      </w:r>
    </w:p>
    <w:bookmarkEnd w:id="14"/>
    <w:bookmarkStart w:id="15" w:name="assinatura"/>
    <w:p>
      <w:pPr>
        <w:pStyle w:val="Heading3"/>
      </w:pPr>
      <w:r>
        <w:t xml:space="preserve">7. Assinatura</w:t>
      </w:r>
    </w:p>
    <w:p>
      <w:pPr>
        <w:pStyle w:val="BlockText"/>
      </w:pPr>
      <w:r>
        <w:rPr>
          <w:b/>
          <w:bCs/>
        </w:rPr>
        <w:t xml:space="preserve">[Assinatura Digital]</w:t>
      </w:r>
      <w:r>
        <w:br/>
      </w:r>
      <w:r>
        <w:rPr>
          <w:b/>
          <w:bCs/>
        </w:rPr>
        <w:t xml:space="preserve">Servidora Judicial – Secção de Arquivo e Fecho de Processos</w:t>
      </w:r>
      <w:r>
        <w:br/>
      </w: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Nota: Esta nota interna destina‑se exclusivamente ao uso interno da Vara da Família e dos Menores de Lisboa, ficando sujeita à confidencialidade prevista no art. 26.º do Código de Processo Civil.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